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center"/>
      </w:pPr>
      <w:r>
        <w:rPr>
          <w:rFonts w:ascii="Arial" w:hAnsi="Arial"/>
          <w:b/>
          <w:sz w:val="18"/>
        </w:rPr>
        <w:t>1° VOTAÇÃO 28/07/2026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44"/>
        <w:gridCol w:w="2244"/>
        <w:gridCol w:w="2244"/>
        <w:gridCol w:w="2244"/>
        <w:gridCol w:w="2244"/>
      </w:tblGrid>
      <w:tr>
        <w:tc>
          <w:tcPr>
            <w:tcW w:type="dxa" w:w="1587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Proposição</w:t>
            </w:r>
          </w:p>
        </w:tc>
        <w:tc>
          <w:tcPr>
            <w:tcW w:type="dxa" w:w="1530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Nº</w:t>
            </w:r>
          </w:p>
        </w:tc>
        <w:tc>
          <w:tcPr>
            <w:tcW w:type="dxa" w:w="1445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Autoria</w:t>
            </w:r>
          </w:p>
        </w:tc>
        <w:tc>
          <w:tcPr>
            <w:tcW w:type="dxa" w:w="3770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Assunto</w:t>
            </w:r>
          </w:p>
        </w:tc>
        <w:tc>
          <w:tcPr>
            <w:tcW w:type="dxa" w:w="2693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Situação</w:t>
            </w:r>
          </w:p>
        </w:tc>
      </w:tr>
      <w:tr>
        <w:trPr>
          <w:trHeight w:val="6123"/>
        </w:trPr>
        <w:tc>
          <w:tcPr>
            <w:tcW w:type="dxa" w:w="158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  <w:t>Projeto de Lei</w:t>
            </w:r>
          </w:p>
        </w:tc>
        <w:tc>
          <w:tcPr>
            <w:tcW w:type="dxa" w:w="153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  <w:t>36/2026</w:t>
            </w:r>
          </w:p>
        </w:tc>
        <w:tc>
          <w:tcPr>
            <w:tcW w:type="dxa" w:w="1445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  <w:t>Executivo Municipal</w:t>
            </w:r>
          </w:p>
        </w:tc>
        <w:tc>
          <w:tcPr>
            <w:tcW w:type="dxa" w:w="377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  <w:t>Altera dispositivo da Lei nº 2.697, de 21 de agosto de 2008, que autoriza o Poder Executivo a contribuir mensalmente com a Associação dos Municípios do Estado do Espírito Santo – AMUNES e dá outras providências.</w:t>
            </w:r>
          </w:p>
        </w:tc>
        <w:tc>
          <w:tcPr>
            <w:tcW w:type="dxa" w:w="2693"/>
            <w:tcMar>
              <w:top w:w="55" w:type="dxa"/>
              <w:left w:w="55" w:type="dxa"/>
              <w:bottom w:w="55" w:type="dxa"/>
              <w:right w:w="55" w:type="dxa"/>
            </w:tcMar>
            <w:vAlign w:val="top"/>
          </w:tcPr>
          <w:p>
            <w:pPr>
              <w:spacing w:after="80"/>
            </w:pPr>
            <w:r/>
            <w:r>
              <w:rPr>
                <w:rFonts w:ascii="Arial" w:hAnsi="Arial"/>
                <w:color w:val="C00000"/>
                <w:sz w:val="14"/>
              </w:rPr>
              <w:t>A FAVOR - 12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Éverton Zanuncio Malheiros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Giani Marcio Coradini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Jeandro Fiorot Careta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Luciano Diniz Sant’Anna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Marco Aurelio Campanha</w:t>
              <w:br/>
              <w:t>Zumerle ( Nim Depoli)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Márcia Aparecida Picoli Mendonça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Maria Lúcia Ventorim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Mateus Fim Pagio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Renan Viçosi Maia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Tiago de Souza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Ulysses Andreão Callegario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Warlen César Bortoli</w:t>
            </w:r>
          </w:p>
          <w:p>
            <w:r>
              <w:rPr>
                <w:rFonts w:ascii="Arial" w:hAnsi="Arial"/>
                <w:color w:val="C00000"/>
                <w:sz w:val="14"/>
              </w:rPr>
              <w:t>CONTRA - 0</w:t>
            </w:r>
          </w:p>
        </w:tc>
      </w:tr>
    </w:tbl>
    <w:p>
      <w:pPr>
        <w:spacing w:after="0"/>
      </w:pPr>
    </w:p>
    <w:p>
      <w:pPr>
        <w:spacing w:after="20"/>
        <w:jc w:val="center"/>
      </w:pPr>
      <w:r>
        <w:rPr>
          <w:rFonts w:ascii="Arial" w:hAnsi="Arial"/>
          <w:b/>
          <w:sz w:val="18"/>
        </w:rPr>
        <w:t>2° VOTAÇÃO 04/08/2026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44"/>
        <w:gridCol w:w="2244"/>
        <w:gridCol w:w="2244"/>
        <w:gridCol w:w="2244"/>
        <w:gridCol w:w="2244"/>
      </w:tblGrid>
      <w:tr>
        <w:tc>
          <w:tcPr>
            <w:tcW w:type="dxa" w:w="1587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Proposição</w:t>
            </w:r>
          </w:p>
        </w:tc>
        <w:tc>
          <w:tcPr>
            <w:tcW w:type="dxa" w:w="1530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Nº</w:t>
            </w:r>
          </w:p>
        </w:tc>
        <w:tc>
          <w:tcPr>
            <w:tcW w:type="dxa" w:w="1445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Autoria</w:t>
            </w:r>
          </w:p>
        </w:tc>
        <w:tc>
          <w:tcPr>
            <w:tcW w:type="dxa" w:w="3770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Assunto</w:t>
            </w:r>
          </w:p>
        </w:tc>
        <w:tc>
          <w:tcPr>
            <w:tcW w:type="dxa" w:w="2693"/>
            <w:tcMar>
              <w:top w:w="35" w:type="dxa"/>
              <w:left w:w="35" w:type="dxa"/>
              <w:bottom w:w="35" w:type="dxa"/>
              <w:right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4"/>
              </w:rPr>
              <w:t>Situação</w:t>
            </w:r>
          </w:p>
        </w:tc>
      </w:tr>
      <w:tr>
        <w:trPr>
          <w:trHeight w:val="6123"/>
        </w:trPr>
        <w:tc>
          <w:tcPr>
            <w:tcW w:type="dxa" w:w="158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  <w:t>Projeto de Lei</w:t>
            </w:r>
          </w:p>
        </w:tc>
        <w:tc>
          <w:tcPr>
            <w:tcW w:type="dxa" w:w="153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  <w:t>36/2026</w:t>
            </w:r>
          </w:p>
        </w:tc>
        <w:tc>
          <w:tcPr>
            <w:tcW w:type="dxa" w:w="1445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  <w:t>Executivo Municipal</w:t>
            </w:r>
          </w:p>
        </w:tc>
        <w:tc>
          <w:tcPr>
            <w:tcW w:type="dxa" w:w="377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4"/>
              </w:rPr>
              <w:t>Altera dispositivo da Lei nº 2.697, de 21 de agosto de 2008, que autoriza o Poder Executivo a contribuir mensalmente com a Associação dos Municípios do Estado do Espírito Santo – AMUNES e dá outras providências.</w:t>
            </w:r>
          </w:p>
        </w:tc>
        <w:tc>
          <w:tcPr>
            <w:tcW w:type="dxa" w:w="2693"/>
            <w:tcMar>
              <w:top w:w="55" w:type="dxa"/>
              <w:left w:w="55" w:type="dxa"/>
              <w:bottom w:w="55" w:type="dxa"/>
              <w:right w:w="55" w:type="dxa"/>
            </w:tcMar>
            <w:vAlign w:val="top"/>
          </w:tcPr>
          <w:p>
            <w:pPr>
              <w:spacing w:after="80"/>
            </w:pPr>
            <w:r/>
            <w:r>
              <w:rPr>
                <w:rFonts w:ascii="Arial" w:hAnsi="Arial"/>
                <w:color w:val="C00000"/>
                <w:sz w:val="14"/>
              </w:rPr>
              <w:t>A FAVOR - 12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Éverton Zanuncio Malheiros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Giani Marcio Coradini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Jeandro Fiorot Careta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Luciano Diniz Sant’Anna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Marco Aurelio Campanha</w:t>
              <w:br/>
              <w:t>Zumerle ( Nim Depoli)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Márcia Aparecida Picoli Mendonça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Maria Lúcia Ventorim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Mateus Fim Pagio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Renan Viçosi Maia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Tiago de Souza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Ulysses Andreão Callegario</w:t>
            </w:r>
          </w:p>
          <w:p>
            <w:pPr>
              <w:spacing w:after="80"/>
            </w:pPr>
            <w:r>
              <w:rPr>
                <w:rFonts w:ascii="Arial" w:hAnsi="Arial"/>
                <w:sz w:val="14"/>
              </w:rPr>
              <w:t>Warlen César Bortoli</w:t>
            </w:r>
          </w:p>
          <w:p>
            <w:r>
              <w:rPr>
                <w:rFonts w:ascii="Arial" w:hAnsi="Arial"/>
                <w:color w:val="C00000"/>
                <w:sz w:val="14"/>
              </w:rPr>
              <w:t>CONTRA - 0</w:t>
            </w:r>
          </w:p>
        </w:tc>
      </w:tr>
    </w:tbl>
    <w:p>
      <w:pPr>
        <w:spacing w:after="0"/>
      </w:pPr>
    </w:p>
    <w:sectPr w:rsidR="00FC693F" w:rsidRPr="0006063C" w:rsidSect="00034616">
      <w:pgSz w:w="12240" w:h="15840"/>
      <w:pgMar w:top="454" w:right="510" w:bottom="454" w:left="5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