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sz w:val="18"/>
        </w:rPr>
        <w:t>1° VOTAÇÃO 14/07/2026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4"/>
        <w:gridCol w:w="2244"/>
        <w:gridCol w:w="2244"/>
        <w:gridCol w:w="2244"/>
        <w:gridCol w:w="2244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25/2026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Concede a(o) Dr. Bruno da Costa Resende o(a) Comenda Irmãos Corrêa de Lima.</w:t>
            </w:r>
          </w:p>
        </w:tc>
        <w:tc>
          <w:tcPr>
            <w:tcW w:type="dxa" w:w="2693"/>
            <w:tcMar>
              <w:top w:w="55" w:type="dxa"/>
              <w:left w:w="55" w:type="dxa"/>
              <w:bottom w:w="55" w:type="dxa"/>
              <w:right w:w="55" w:type="dxa"/>
            </w:tcMar>
            <w:vAlign w:val="top"/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p>
      <w:pPr>
        <w:spacing w:after="20"/>
        <w:jc w:val="center"/>
      </w:pPr>
      <w:r>
        <w:rPr>
          <w:rFonts w:ascii="Arial" w:hAnsi="Arial"/>
          <w:b/>
          <w:sz w:val="18"/>
        </w:rPr>
        <w:t>2° VOTAÇÃO 21/07/2026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4"/>
        <w:gridCol w:w="2244"/>
        <w:gridCol w:w="2244"/>
        <w:gridCol w:w="2244"/>
        <w:gridCol w:w="2244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25/2026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Concede a(o) Dr. Bruno da Costa Resende o(a) Comenda Irmãos Corrêa de Lima.</w:t>
            </w:r>
          </w:p>
        </w:tc>
        <w:tc>
          <w:tcPr>
            <w:tcW w:type="dxa" w:w="2693"/>
            <w:tcMar>
              <w:top w:w="55" w:type="dxa"/>
              <w:left w:w="55" w:type="dxa"/>
              <w:bottom w:w="55" w:type="dxa"/>
              <w:right w:w="55" w:type="dxa"/>
            </w:tcMar>
            <w:vAlign w:val="top"/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sectPr w:rsidR="00FC693F" w:rsidRPr="0006063C" w:rsidSect="00034616">
      <w:pgSz w:w="12240" w:h="15840"/>
      <w:pgMar w:top="454" w:right="510" w:bottom="454" w:left="5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